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9336449"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490878" w:rsidRPr="00490878">
        <w:rPr>
          <w:bCs/>
          <w:noProof w:val="0"/>
          <w:sz w:val="24"/>
          <w:szCs w:val="24"/>
        </w:rPr>
        <w:t>R2-1800770</w:t>
      </w:r>
    </w:p>
    <w:p w14:paraId="231362B2" w14:textId="588793E3"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EB48142" w:rsidR="00CD4C7B" w:rsidRPr="00B266B0" w:rsidRDefault="00CD4C7B" w:rsidP="00CD4C7B">
      <w:pPr>
        <w:pStyle w:val="CRCoverPage"/>
        <w:tabs>
          <w:tab w:val="left" w:pos="1985"/>
        </w:tabs>
        <w:rPr>
          <w:rFonts w:cs="Arial"/>
          <w:b/>
          <w:bCs/>
          <w:sz w:val="24"/>
          <w:lang w:eastAsia="ja-JP"/>
        </w:rPr>
      </w:pPr>
      <w:bookmarkStart w:id="0" w:name="_GoBack"/>
      <w:bookmarkEnd w:id="0"/>
      <w:r w:rsidRPr="00B266B0">
        <w:rPr>
          <w:rFonts w:cs="Arial"/>
          <w:b/>
          <w:bCs/>
          <w:sz w:val="24"/>
        </w:rPr>
        <w:t>Agenda item:</w:t>
      </w:r>
      <w:r>
        <w:rPr>
          <w:rFonts w:cs="Arial"/>
          <w:b/>
          <w:bCs/>
          <w:sz w:val="24"/>
        </w:rPr>
        <w:tab/>
      </w:r>
      <w:r w:rsidR="00CF388E">
        <w:rPr>
          <w:rFonts w:cs="Arial"/>
          <w:b/>
          <w:bCs/>
          <w:sz w:val="24"/>
          <w:lang w:eastAsia="ja-JP"/>
        </w:rPr>
        <w:t>10.2.2.2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D00B0B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E63">
        <w:rPr>
          <w:rFonts w:ascii="Arial" w:hAnsi="Arial" w:cs="Arial"/>
          <w:b/>
          <w:bCs/>
          <w:sz w:val="24"/>
        </w:rPr>
        <w:t>Involvement of MN by SN during PSCell change scenarios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9387A12" w:rsidR="00CD4C7B" w:rsidRDefault="00DC4E63" w:rsidP="00CD4C7B">
      <w:r>
        <w:t>During the RAN2#100 meeting in Reno an open issue was pending on this aspect. The agreements are copied here below for reference.</w:t>
      </w:r>
    </w:p>
    <w:p w14:paraId="02864E8E"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Agreement</w:t>
      </w:r>
    </w:p>
    <w:p w14:paraId="75806165"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 xml:space="preserve">1: </w:t>
      </w:r>
      <w:r>
        <w:tab/>
        <w:t>The PSCell Change included in the SN Modification procedure should be specified clearly in TS 37.340, i.e. in EN-DC:</w:t>
      </w:r>
    </w:p>
    <w:p w14:paraId="5925484B"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w:t>
      </w:r>
      <w:r>
        <w:tab/>
        <w:t>The PSCell change without security key change can be performed via SN initiated SN Modification with or without MN involvement procedure (depending on the case);</w:t>
      </w:r>
    </w:p>
    <w:p w14:paraId="065345AF"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rsidRPr="00DC4E63">
        <w:rPr>
          <w:highlight w:val="yellow"/>
        </w:rPr>
        <w:t>FFS: For which cases it is possible to perform the PSCell change without MN involvement</w:t>
      </w:r>
    </w:p>
    <w:p w14:paraId="43A4F549"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w:t>
      </w:r>
      <w:r>
        <w:tab/>
        <w:t>The PSCell change with security key change should be performed via SN initiated SN Modification with MN involvement procedure.</w:t>
      </w:r>
    </w:p>
    <w:p w14:paraId="2A62B987"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 xml:space="preserve">2: </w:t>
      </w:r>
      <w:r>
        <w:tab/>
        <w:t>The concept of "SCG Change" should be removed in TS 37.340 (replacement term could be e.g. SN security refresh)</w:t>
      </w:r>
    </w:p>
    <w:p w14:paraId="06AFFE3A" w14:textId="34DC8424" w:rsidR="00DC4E63" w:rsidRDefault="00DC4E63" w:rsidP="00CD4C7B"/>
    <w:p w14:paraId="0AC61EFD" w14:textId="3E7DEFB2" w:rsidR="00DC4E63" w:rsidRPr="006E13D1" w:rsidRDefault="00DC4E63" w:rsidP="00CD4C7B">
      <w:r>
        <w:t>In this contribution, we will discuss how to solve the FFS issue</w:t>
      </w:r>
      <w:r w:rsidR="00C31E3A">
        <w:t>.</w:t>
      </w:r>
    </w:p>
    <w:p w14:paraId="127ACA6D" w14:textId="2A4CA95F" w:rsidR="00CD4C7B" w:rsidRDefault="00CD4C7B" w:rsidP="00CD4C7B">
      <w:pPr>
        <w:pStyle w:val="Heading1"/>
      </w:pPr>
      <w:r w:rsidRPr="006E13D1">
        <w:t>2</w:t>
      </w:r>
      <w:r w:rsidRPr="006E13D1">
        <w:tab/>
      </w:r>
      <w:r w:rsidR="00DC4E63">
        <w:t>Background</w:t>
      </w:r>
    </w:p>
    <w:p w14:paraId="5A0A6163" w14:textId="49CA2F67" w:rsidR="00DC4E63" w:rsidRPr="00DC4E63" w:rsidRDefault="00DC4E63" w:rsidP="00DC4E63">
      <w:r>
        <w:t>During the RAN2#99-bis meeting in Prague, the following discussions happened for the bearer type change topic.</w:t>
      </w:r>
    </w:p>
    <w:p w14:paraId="3256054C"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Agreements</w:t>
      </w:r>
    </w:p>
    <w:p w14:paraId="2915F7D2"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 xml:space="preserve">1:  </w:t>
      </w:r>
      <w:r>
        <w:tab/>
        <w:t>The bearer type change between MCG split bearer and SCG split bearer is supported.</w:t>
      </w:r>
    </w:p>
    <w:p w14:paraId="4AD10A81"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2:</w:t>
      </w:r>
      <w:r>
        <w:tab/>
        <w:t>PDCP version change for DRB shall only be performed via handover procedure.</w:t>
      </w:r>
    </w:p>
    <w:p w14:paraId="508CE130"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3:</w:t>
      </w:r>
      <w:r>
        <w:tab/>
        <w:t>MCG bearer cannot be directly changed to other bearer type if LTE PDCP version is used for MCG bearer, i.e. the network has to use handover to change PDCP version of MCG bearer to NR PDCP and then do bearer type change from MCG bearer to other bearers.</w:t>
      </w:r>
    </w:p>
    <w:p w14:paraId="47A7BE9C"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4</w:t>
      </w:r>
      <w:r>
        <w:tab/>
        <w:t xml:space="preserve">RAN2 confirm </w:t>
      </w:r>
      <w:r w:rsidRPr="005A4F50">
        <w:t xml:space="preserve">Table 1 </w:t>
      </w:r>
      <w:r>
        <w:t>for the case when both MCG key and SCG key are changed.</w:t>
      </w:r>
    </w:p>
    <w:p w14:paraId="09484E27"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5</w:t>
      </w:r>
      <w:r>
        <w:tab/>
        <w:t>RAN2 confirm that Table 2 correctly represents the previous agreements on L2 handling for different bearer type change upon S-KgNB security key change</w:t>
      </w:r>
    </w:p>
    <w:p w14:paraId="35EADBBA"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6</w:t>
      </w:r>
      <w:r>
        <w:tab/>
        <w:t>For physical parameter reconfiguration of SCell or release/addition of some of SCell(s), this could be a reconfiguration procedure without PDCP/RLC impact and without MAC reset</w:t>
      </w:r>
    </w:p>
    <w:p w14:paraId="0DFC32D5"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7</w:t>
      </w:r>
      <w:r>
        <w:tab/>
        <w:t xml:space="preserve">LTE RLC is re-established first and then released for the bearer type change from MCG bearer to SCG bearer, and split bearer to SCG bearer </w:t>
      </w:r>
    </w:p>
    <w:p w14:paraId="1F36DB11"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8</w:t>
      </w:r>
      <w:r>
        <w:tab/>
        <w:t>L2 handling for Bearer type change with and without security key change indicated in Table 4 is confirmed (apart from aspects related to offline discussion #14). The table doesn’t consider the case that PDCP SN length is changed.</w:t>
      </w:r>
    </w:p>
    <w:p w14:paraId="167ECBCF" w14:textId="77777777" w:rsidR="00DC4E63" w:rsidRDefault="00DC4E63" w:rsidP="00DC4E63">
      <w:pPr>
        <w:pStyle w:val="Doc-text2"/>
        <w:pBdr>
          <w:top w:val="single" w:sz="4" w:space="1" w:color="auto"/>
          <w:left w:val="single" w:sz="4" w:space="4" w:color="auto"/>
          <w:bottom w:val="single" w:sz="4" w:space="1" w:color="auto"/>
          <w:right w:val="single" w:sz="4" w:space="4" w:color="auto"/>
        </w:pBdr>
      </w:pPr>
      <w:r>
        <w:t>9</w:t>
      </w:r>
      <w:r>
        <w:tab/>
        <w:t>Capture table 4 as informative text in Annex of TS37.340;</w:t>
      </w:r>
    </w:p>
    <w:p w14:paraId="195D7342" w14:textId="77777777" w:rsidR="00DC4E63" w:rsidRDefault="00DC4E63" w:rsidP="00DC4E63">
      <w:pPr>
        <w:pStyle w:val="Doc-text2"/>
      </w:pPr>
    </w:p>
    <w:p w14:paraId="311B6127" w14:textId="77777777" w:rsidR="00DC4E63" w:rsidRDefault="00DC4E63" w:rsidP="00DC4E63">
      <w:pPr>
        <w:pStyle w:val="Doc-text2"/>
      </w:pPr>
      <w:r>
        <w:t>=&gt;</w:t>
      </w:r>
      <w:r>
        <w:tab/>
        <w:t>Proposal 2 can be discussed offline as part of offline discussion #14</w:t>
      </w:r>
    </w:p>
    <w:p w14:paraId="026AD529" w14:textId="77777777" w:rsidR="00DC4E63" w:rsidRDefault="00DC4E63" w:rsidP="00DC4E63">
      <w:pPr>
        <w:pStyle w:val="Doc-text2"/>
      </w:pPr>
      <w:r>
        <w:t>=&gt;</w:t>
      </w:r>
      <w:r>
        <w:tab/>
        <w:t>Proposal 7 on PSCell change can be discussed offline (Offline discussion #15, CATT)</w:t>
      </w:r>
    </w:p>
    <w:p w14:paraId="57803E04" w14:textId="77777777" w:rsidR="00DC4E63" w:rsidRDefault="00DC4E63" w:rsidP="00DC4E63">
      <w:pPr>
        <w:pStyle w:val="Doc-text2"/>
        <w:rPr>
          <w:noProof/>
        </w:rPr>
      </w:pPr>
    </w:p>
    <w:p w14:paraId="45BB7779" w14:textId="151E696E" w:rsidR="00DC4E63" w:rsidRDefault="00B860F1" w:rsidP="00044119">
      <w:pPr>
        <w:rPr>
          <w:noProof/>
        </w:rPr>
      </w:pPr>
      <w:hyperlink r:id="rId11" w:tooltip="C:Data3GPPExtractsR2-1712000.docx" w:history="1">
        <w:r w:rsidR="00DC4E63" w:rsidRPr="00A00906">
          <w:rPr>
            <w:rStyle w:val="Hyperlink"/>
            <w:noProof/>
          </w:rPr>
          <w:t>R2-1712000</w:t>
        </w:r>
      </w:hyperlink>
      <w:r w:rsidR="00DC4E63" w:rsidRPr="00A1451D">
        <w:rPr>
          <w:noProof/>
        </w:rPr>
        <w:tab/>
        <w:t>Offline discussion #15 on PSCell change</w:t>
      </w:r>
      <w:r w:rsidR="00DC4E63" w:rsidRPr="00A1451D">
        <w:rPr>
          <w:noProof/>
        </w:rPr>
        <w:tab/>
        <w:t>CATT</w:t>
      </w:r>
      <w:r w:rsidR="00DC4E63" w:rsidRPr="00A1451D">
        <w:rPr>
          <w:noProof/>
        </w:rPr>
        <w:tab/>
        <w:t>discussion</w:t>
      </w:r>
    </w:p>
    <w:p w14:paraId="43E3434F" w14:textId="77777777" w:rsidR="00DC4E63" w:rsidRDefault="00DC4E63" w:rsidP="00DC4E63">
      <w:pPr>
        <w:pStyle w:val="Doc-text2"/>
        <w:pBdr>
          <w:top w:val="single" w:sz="4" w:space="1" w:color="auto"/>
          <w:left w:val="single" w:sz="4" w:space="4" w:color="auto"/>
          <w:bottom w:val="single" w:sz="4" w:space="1" w:color="auto"/>
          <w:right w:val="single" w:sz="4" w:space="4" w:color="auto"/>
        </w:pBdr>
        <w:rPr>
          <w:noProof/>
        </w:rPr>
      </w:pPr>
      <w:r>
        <w:rPr>
          <w:noProof/>
        </w:rPr>
        <w:lastRenderedPageBreak/>
        <w:t>Agreements</w:t>
      </w:r>
    </w:p>
    <w:p w14:paraId="009A0C30" w14:textId="77777777" w:rsidR="00DC4E63" w:rsidRDefault="00DC4E63" w:rsidP="00DC4E63">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t>Handling 2 is supported (RA access, MAC reset, RLC re-established, PDCP recovery (for AM DRB), No security key change) are allowed in the specification for PSCell change. Trigger conditions for PDCP recovery will be captured in RRC spec.</w:t>
      </w:r>
      <w:r w:rsidRPr="006F2CEB">
        <w:rPr>
          <w:noProof/>
        </w:rPr>
        <w:t xml:space="preserve"> </w:t>
      </w:r>
      <w:bookmarkStart w:id="1" w:name="_Hlk503180995"/>
      <w:r>
        <w:rPr>
          <w:noProof/>
        </w:rPr>
        <w:t>If PDCP is in master node then MN is involved</w:t>
      </w:r>
    </w:p>
    <w:bookmarkEnd w:id="1"/>
    <w:p w14:paraId="30D242CA" w14:textId="77777777" w:rsidR="00DC4E63" w:rsidRDefault="00DC4E63" w:rsidP="00DC4E63">
      <w:pPr>
        <w:pStyle w:val="Doc-text2"/>
        <w:pBdr>
          <w:top w:val="single" w:sz="4" w:space="1" w:color="auto"/>
          <w:left w:val="single" w:sz="4" w:space="4" w:color="auto"/>
          <w:bottom w:val="single" w:sz="4" w:space="1" w:color="auto"/>
          <w:right w:val="single" w:sz="4" w:space="4" w:color="auto"/>
        </w:pBdr>
        <w:rPr>
          <w:noProof/>
        </w:rPr>
      </w:pPr>
      <w:r>
        <w:rPr>
          <w:noProof/>
        </w:rPr>
        <w:t>FFS: Handling PDCP in case of RLC-UM mode and SRBs for handling 2.</w:t>
      </w:r>
    </w:p>
    <w:p w14:paraId="0D58FF73" w14:textId="77777777" w:rsidR="00DC4E63" w:rsidRDefault="00DC4E63" w:rsidP="00DC4E63">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 xml:space="preserve">Optimisation for support of RA access without MAC reset is not required for PSCell change. </w:t>
      </w:r>
    </w:p>
    <w:p w14:paraId="3884F67D" w14:textId="6C894FF7" w:rsidR="00CD4C7B" w:rsidRDefault="00CD4C7B" w:rsidP="001B49C9"/>
    <w:p w14:paraId="6ACDB6DB" w14:textId="3785A390" w:rsidR="00DC4E63" w:rsidRDefault="00DC4E63" w:rsidP="001B49C9">
      <w:pPr>
        <w:rPr>
          <w:noProof/>
        </w:rPr>
      </w:pPr>
      <w:r>
        <w:t xml:space="preserve">Based on the offline discussion, most companies felt that the Handling 2 suggested in </w:t>
      </w:r>
      <w:r w:rsidRPr="00DC4E63">
        <w:rPr>
          <w:noProof/>
        </w:rPr>
        <w:t>R2-1712000</w:t>
      </w:r>
      <w:r>
        <w:rPr>
          <w:noProof/>
        </w:rPr>
        <w:t xml:space="preserve"> would be the baseline handling. In addition, during the same discussion it was also clarified that for SN terminated bearer types, the PSCell change within the SN without key change does not need any MN node involvement.</w:t>
      </w:r>
    </w:p>
    <w:p w14:paraId="1687CBAE" w14:textId="68C563AD" w:rsidR="00DC4E63" w:rsidRDefault="00C31E3A" w:rsidP="001B49C9">
      <w:pPr>
        <w:rPr>
          <w:noProof/>
        </w:rPr>
      </w:pPr>
      <w:r>
        <w:t xml:space="preserve">The PSCell change without security key change can be performed via SN initiated SN Modification with or without MN involvement procedure (depending on the case). </w:t>
      </w:r>
      <w:r w:rsidR="00DC4E63" w:rsidRPr="00DC4E63">
        <w:rPr>
          <w:noProof/>
        </w:rPr>
        <w:t>As per above agreements, for PSCell change scenarios which do not require a security key change, if the PDCP is in master node then MN is involved.</w:t>
      </w:r>
    </w:p>
    <w:p w14:paraId="778DD789" w14:textId="1A1431E2" w:rsidR="003F1C80" w:rsidRDefault="003F1C80" w:rsidP="001B49C9">
      <w:pPr>
        <w:rPr>
          <w:noProof/>
        </w:rPr>
      </w:pPr>
      <w:r>
        <w:rPr>
          <w:noProof/>
        </w:rPr>
        <w:t>From the specification point of view, this is already clear:</w:t>
      </w:r>
    </w:p>
    <w:p w14:paraId="4A9F5D0B" w14:textId="77777777" w:rsidR="003F1C80" w:rsidRDefault="003F1C80" w:rsidP="003F1C80">
      <w:pPr>
        <w:pStyle w:val="Heading2"/>
        <w:rPr>
          <w:lang w:eastAsia="zh-CN"/>
        </w:rPr>
      </w:pPr>
      <w:bookmarkStart w:id="2" w:name="_Toc502439521"/>
      <w:r>
        <w:rPr>
          <w:lang w:eastAsia="zh-CN"/>
        </w:rPr>
        <w:t>10.6</w:t>
      </w:r>
      <w:r>
        <w:rPr>
          <w:lang w:eastAsia="zh-CN"/>
        </w:rPr>
        <w:tab/>
        <w:t xml:space="preserve">PSCell </w:t>
      </w:r>
      <w:r w:rsidRPr="001A667A">
        <w:rPr>
          <w:lang w:eastAsia="zh-CN"/>
        </w:rPr>
        <w:t>change</w:t>
      </w:r>
      <w:bookmarkEnd w:id="2"/>
    </w:p>
    <w:p w14:paraId="5EC15353" w14:textId="77777777" w:rsidR="003F1C80" w:rsidRPr="00260D7C" w:rsidRDefault="003F1C80" w:rsidP="003F1C80">
      <w:r w:rsidRPr="00260D7C">
        <w:t>In MR-DC, a PSCell change does not always require a security key change.</w:t>
      </w:r>
    </w:p>
    <w:p w14:paraId="39A6794F" w14:textId="77777777" w:rsidR="003F1C80" w:rsidRDefault="003F1C80" w:rsidP="003F1C80">
      <w:r w:rsidRPr="00260D7C">
        <w:t>If a security key change is required, this is</w:t>
      </w:r>
      <w:r w:rsidRPr="00984C59">
        <w:t xml:space="preserve"> </w:t>
      </w:r>
      <w:r>
        <w:t xml:space="preserve">performed through </w:t>
      </w:r>
      <w:r w:rsidRPr="00984C59">
        <w:t xml:space="preserve">a synchronous </w:t>
      </w:r>
      <w:r w:rsidRPr="00984C59">
        <w:rPr>
          <w:rFonts w:hint="eastAsia"/>
        </w:rPr>
        <w:t xml:space="preserve">SCG reconfiguration procedure </w:t>
      </w:r>
      <w:r w:rsidRPr="00984C59">
        <w:t>towards the UE</w:t>
      </w:r>
      <w:r w:rsidRPr="00984C59">
        <w:rPr>
          <w:rFonts w:hint="eastAsia"/>
        </w:rPr>
        <w:t xml:space="preserve"> involving random access on </w:t>
      </w:r>
      <w:r w:rsidRPr="002720D1">
        <w:rPr>
          <w:rFonts w:hint="eastAsia"/>
        </w:rPr>
        <w:t>PSCell</w:t>
      </w:r>
      <w:r w:rsidRPr="002720D1">
        <w:t xml:space="preserve"> and a security key change</w:t>
      </w:r>
      <w:r>
        <w:t>, d</w:t>
      </w:r>
      <w:r w:rsidRPr="00984C59">
        <w:t xml:space="preserve">uring </w:t>
      </w:r>
      <w:r>
        <w:t>which</w:t>
      </w:r>
      <w:r w:rsidRPr="00984C59">
        <w:t xml:space="preserve"> </w:t>
      </w:r>
      <w:r>
        <w:t xml:space="preserve">the </w:t>
      </w:r>
      <w:r w:rsidRPr="00984C59">
        <w:t>MAC</w:t>
      </w:r>
      <w:r w:rsidRPr="00984C59">
        <w:rPr>
          <w:rFonts w:hint="eastAsia"/>
          <w:lang w:eastAsia="zh-CN"/>
        </w:rPr>
        <w:t xml:space="preserve"> entity</w:t>
      </w:r>
      <w:r w:rsidRPr="00984C59">
        <w:t xml:space="preserve"> configured for SCG is reset and </w:t>
      </w:r>
      <w:r w:rsidRPr="00984C59">
        <w:rPr>
          <w:rFonts w:hint="eastAsia"/>
        </w:rPr>
        <w:t>RLC configured for SCG is re-established regardless of the bearer type</w:t>
      </w:r>
      <w:r w:rsidRPr="00984C59">
        <w:t>(</w:t>
      </w:r>
      <w:r w:rsidRPr="00984C59">
        <w:rPr>
          <w:rFonts w:hint="eastAsia"/>
        </w:rPr>
        <w:t>s</w:t>
      </w:r>
      <w:r w:rsidRPr="00984C59">
        <w:t>)</w:t>
      </w:r>
      <w:r w:rsidRPr="00984C59">
        <w:rPr>
          <w:rFonts w:hint="eastAsia"/>
        </w:rPr>
        <w:t xml:space="preserve"> established on SCG. </w:t>
      </w:r>
      <w:r w:rsidRPr="0021438B">
        <w:rPr>
          <w:rFonts w:hint="eastAsia"/>
        </w:rPr>
        <w:t xml:space="preserve">For </w:t>
      </w:r>
      <w:r w:rsidRPr="00260D7C">
        <w:t>SN terminated</w:t>
      </w:r>
      <w:r w:rsidRPr="00260D7C">
        <w:rPr>
          <w:rFonts w:hint="eastAsia"/>
          <w:lang w:eastAsia="zh-CN"/>
        </w:rPr>
        <w:t xml:space="preserve"> bearer</w:t>
      </w:r>
      <w:r w:rsidRPr="00260D7C">
        <w:rPr>
          <w:lang w:eastAsia="zh-CN"/>
        </w:rPr>
        <w:t>s</w:t>
      </w:r>
      <w:r w:rsidRPr="0021438B">
        <w:rPr>
          <w:rFonts w:hint="eastAsia"/>
        </w:rPr>
        <w:t>, PDCP is re-established</w:t>
      </w:r>
      <w:r>
        <w:t>. In EN-DC, t</w:t>
      </w:r>
      <w:r w:rsidRPr="0021438B">
        <w:t xml:space="preserve">o perform </w:t>
      </w:r>
      <w:r>
        <w:t xml:space="preserve">this procedure </w:t>
      </w:r>
      <w:r w:rsidRPr="0021438B">
        <w:t xml:space="preserve">within the </w:t>
      </w:r>
      <w:r w:rsidRPr="0021438B">
        <w:rPr>
          <w:rFonts w:hint="eastAsia"/>
        </w:rPr>
        <w:t xml:space="preserve">same </w:t>
      </w:r>
      <w:r w:rsidRPr="0021438B">
        <w:t>S</w:t>
      </w:r>
      <w:r w:rsidRPr="0021438B">
        <w:rPr>
          <w:rFonts w:hint="eastAsia"/>
          <w:lang w:eastAsia="zh-CN"/>
        </w:rPr>
        <w:t>N</w:t>
      </w:r>
      <w:r w:rsidRPr="0021438B">
        <w:t>, the S</w:t>
      </w:r>
      <w:r w:rsidRPr="0021438B">
        <w:rPr>
          <w:rFonts w:hint="eastAsia"/>
          <w:lang w:eastAsia="zh-CN"/>
        </w:rPr>
        <w:t>N</w:t>
      </w:r>
      <w:r w:rsidRPr="0021438B">
        <w:t xml:space="preserve"> </w:t>
      </w:r>
      <w:r w:rsidRPr="0021438B">
        <w:rPr>
          <w:rFonts w:hint="eastAsia"/>
        </w:rPr>
        <w:t>M</w:t>
      </w:r>
      <w:r w:rsidRPr="0021438B">
        <w:t xml:space="preserve">odification procedure as described in section </w:t>
      </w:r>
      <w:r w:rsidRPr="0021438B">
        <w:rPr>
          <w:lang w:eastAsia="zh-CN"/>
        </w:rPr>
        <w:t>10</w:t>
      </w:r>
      <w:r w:rsidRPr="0021438B">
        <w:rPr>
          <w:rFonts w:hint="eastAsia"/>
          <w:lang w:eastAsia="zh-CN"/>
        </w:rPr>
        <w:t>.3</w:t>
      </w:r>
      <w:r w:rsidRPr="0021438B">
        <w:t xml:space="preserve"> is used</w:t>
      </w:r>
      <w:r>
        <w:t xml:space="preserve">, </w:t>
      </w:r>
      <w:r w:rsidRPr="00DC544D">
        <w:t xml:space="preserve">setting the </w:t>
      </w:r>
      <w:r w:rsidRPr="00DC544D">
        <w:rPr>
          <w:i/>
        </w:rPr>
        <w:t>PDCP Change Indication</w:t>
      </w:r>
      <w:r w:rsidRPr="00DC544D">
        <w:t xml:space="preserve"> to indicate that a S-K</w:t>
      </w:r>
      <w:r w:rsidRPr="00DC544D">
        <w:rPr>
          <w:vertAlign w:val="subscript"/>
        </w:rPr>
        <w:t>gNB</w:t>
      </w:r>
      <w:r w:rsidRPr="00DC544D">
        <w:t xml:space="preserve"> update is required</w:t>
      </w:r>
      <w:r>
        <w:t>.</w:t>
      </w:r>
    </w:p>
    <w:p w14:paraId="4288A397" w14:textId="77777777" w:rsidR="003F1C80" w:rsidRPr="00F621C0" w:rsidRDefault="003F1C80" w:rsidP="003F1C80">
      <w:r>
        <w:t xml:space="preserve">If </w:t>
      </w:r>
      <w:r w:rsidRPr="002720D1">
        <w:t xml:space="preserve">a security key change </w:t>
      </w:r>
      <w:r>
        <w:t xml:space="preserve">is not required, </w:t>
      </w:r>
      <w:r w:rsidRPr="002720D1">
        <w:t xml:space="preserve">for </w:t>
      </w:r>
      <w:r w:rsidRPr="00EB27CE">
        <w:t xml:space="preserve">bearers using RLC AM mode PDCP data recovery applies, for bearers using RLC UM no action </w:t>
      </w:r>
      <w:r w:rsidRPr="00EB27CE">
        <w:rPr>
          <w:rFonts w:hint="eastAsia"/>
        </w:rPr>
        <w:t>is</w:t>
      </w:r>
      <w:r w:rsidRPr="00EB27CE">
        <w:t xml:space="preserve"> performed in PDCP while for SRBs PDCP discards all stored SDUs and PDUs. </w:t>
      </w:r>
      <w:r w:rsidRPr="003F1C80">
        <w:rPr>
          <w:highlight w:val="yellow"/>
        </w:rPr>
        <w:t>In EN-DC, unless MN terminated SCG or split bearers are configured, this does not require MN involvement. In case of MN terminated SCG or split bearers, the S</w:t>
      </w:r>
      <w:r w:rsidRPr="003F1C80">
        <w:rPr>
          <w:rFonts w:hint="eastAsia"/>
          <w:highlight w:val="yellow"/>
          <w:lang w:eastAsia="zh-CN"/>
        </w:rPr>
        <w:t>N</w:t>
      </w:r>
      <w:r w:rsidRPr="003F1C80">
        <w:rPr>
          <w:highlight w:val="yellow"/>
        </w:rPr>
        <w:t xml:space="preserve"> </w:t>
      </w:r>
      <w:r w:rsidRPr="003F1C80">
        <w:rPr>
          <w:rFonts w:hint="eastAsia"/>
          <w:highlight w:val="yellow"/>
        </w:rPr>
        <w:t>M</w:t>
      </w:r>
      <w:r w:rsidRPr="003F1C80">
        <w:rPr>
          <w:highlight w:val="yellow"/>
        </w:rPr>
        <w:t xml:space="preserve">odification procedure as described in section </w:t>
      </w:r>
      <w:r w:rsidRPr="003F1C80">
        <w:rPr>
          <w:highlight w:val="yellow"/>
          <w:lang w:eastAsia="zh-CN"/>
        </w:rPr>
        <w:t>10</w:t>
      </w:r>
      <w:r w:rsidRPr="003F1C80">
        <w:rPr>
          <w:rFonts w:hint="eastAsia"/>
          <w:highlight w:val="yellow"/>
          <w:lang w:eastAsia="zh-CN"/>
        </w:rPr>
        <w:t>.3</w:t>
      </w:r>
      <w:r w:rsidRPr="003F1C80">
        <w:rPr>
          <w:highlight w:val="yellow"/>
        </w:rPr>
        <w:t xml:space="preserve"> is used, setting the </w:t>
      </w:r>
      <w:r w:rsidRPr="003F1C80">
        <w:rPr>
          <w:i/>
          <w:highlight w:val="yellow"/>
        </w:rPr>
        <w:t>PDCP Change Indication</w:t>
      </w:r>
      <w:r w:rsidRPr="003F1C80">
        <w:rPr>
          <w:highlight w:val="yellow"/>
        </w:rPr>
        <w:t xml:space="preserve"> to indicate that a PDCP data recovery is required.</w:t>
      </w:r>
    </w:p>
    <w:p w14:paraId="43A12B72" w14:textId="3113AF54" w:rsidR="00CD4C7B" w:rsidRPr="006E13D1" w:rsidRDefault="00CD4C7B" w:rsidP="00CD4C7B">
      <w:pPr>
        <w:pStyle w:val="Heading1"/>
      </w:pPr>
      <w:r w:rsidRPr="006E13D1">
        <w:t>3</w:t>
      </w:r>
      <w:r w:rsidRPr="006E13D1">
        <w:tab/>
      </w:r>
      <w:r w:rsidR="00DC4E63">
        <w:t>Conclusion</w:t>
      </w:r>
    </w:p>
    <w:p w14:paraId="659CB212" w14:textId="1410EF9F" w:rsidR="00DC4E63" w:rsidRDefault="00DC4E63" w:rsidP="00CD4C7B">
      <w:r>
        <w:t>In this contribution, we have discussed that the issue is already resolved in the RAN2#99-bis meeting with the agreement pasted above.</w:t>
      </w:r>
      <w:r w:rsidR="004C7886">
        <w:t xml:space="preserve"> However, the agreement is not very clear just reading the above agreement box</w:t>
      </w:r>
      <w:r w:rsidR="003F1C80">
        <w:t xml:space="preserve"> and has also been clarified in the Stage 2 specification</w:t>
      </w:r>
      <w:r w:rsidR="004C7886">
        <w:t>.</w:t>
      </w:r>
      <w:r>
        <w:t xml:space="preserve"> Hence, we propose to close the issue with the following proposal:</w:t>
      </w:r>
    </w:p>
    <w:p w14:paraId="30634639" w14:textId="7528DFDC" w:rsidR="00DC4E63" w:rsidRDefault="00DC4E63" w:rsidP="00CD4C7B">
      <w:pPr>
        <w:rPr>
          <w:b/>
          <w:noProof/>
        </w:rPr>
      </w:pPr>
      <w:r w:rsidRPr="00DC4E63">
        <w:rPr>
          <w:b/>
        </w:rPr>
        <w:t>Proposal</w:t>
      </w:r>
      <w:r w:rsidR="00C1224A">
        <w:rPr>
          <w:b/>
        </w:rPr>
        <w:t xml:space="preserve"> 1</w:t>
      </w:r>
      <w:r w:rsidRPr="00DC4E63">
        <w:rPr>
          <w:b/>
        </w:rPr>
        <w:t>: F</w:t>
      </w:r>
      <w:r w:rsidRPr="00DC4E63">
        <w:rPr>
          <w:b/>
          <w:noProof/>
        </w:rPr>
        <w:t>or PSCell change scenarios without security key change, if the PDCP is in master node then MN is involved.</w:t>
      </w:r>
    </w:p>
    <w:p w14:paraId="0203DB66" w14:textId="6A3E683B" w:rsidR="00C1224A" w:rsidRPr="00DC4E63" w:rsidRDefault="00C1224A" w:rsidP="00CD4C7B">
      <w:pPr>
        <w:rPr>
          <w:b/>
        </w:rPr>
      </w:pPr>
      <w:r>
        <w:rPr>
          <w:b/>
          <w:noProof/>
        </w:rPr>
        <w:t>Proposal 2: Due to the fact that the TS 37.340 al</w:t>
      </w:r>
      <w:r w:rsidR="00272C6E">
        <w:rPr>
          <w:b/>
          <w:noProof/>
        </w:rPr>
        <w:t>ready addresses this open issue</w:t>
      </w:r>
      <w:r>
        <w:rPr>
          <w:b/>
          <w:noProof/>
        </w:rPr>
        <w:t xml:space="preserve"> no more discussions are needed on this topic.</w:t>
      </w:r>
    </w:p>
    <w:p w14:paraId="0FDCFAC2" w14:textId="77777777" w:rsidR="00CD4C7B" w:rsidRPr="006E13D1" w:rsidRDefault="00CD4C7B" w:rsidP="00CD4C7B">
      <w:pPr>
        <w:pStyle w:val="Heading1"/>
      </w:pPr>
      <w:r w:rsidRPr="006E13D1">
        <w:t>References</w:t>
      </w:r>
    </w:p>
    <w:p w14:paraId="35F222F4" w14:textId="3444871F" w:rsidR="00080512" w:rsidRPr="00044119" w:rsidRDefault="0090466A" w:rsidP="00CD4C7B">
      <w:pPr>
        <w:numPr>
          <w:ilvl w:val="0"/>
          <w:numId w:val="4"/>
        </w:numPr>
        <w:overflowPunct w:val="0"/>
        <w:autoSpaceDE w:val="0"/>
        <w:autoSpaceDN w:val="0"/>
        <w:adjustRightInd w:val="0"/>
        <w:textAlignment w:val="baseline"/>
        <w:rPr>
          <w:iCs/>
        </w:rPr>
      </w:pPr>
      <w:bookmarkStart w:id="3" w:name="_Ref75086397"/>
      <w:r w:rsidRPr="00CF388E">
        <w:t xml:space="preserve">3GPP TS </w:t>
      </w:r>
      <w:r w:rsidR="00CF388E">
        <w:t xml:space="preserve">37.340: </w:t>
      </w:r>
      <w:r w:rsidR="00CF388E" w:rsidRPr="00CF388E">
        <w:rPr>
          <w:i/>
          <w:iCs/>
        </w:rPr>
        <w:t>Evolved Universal Terrestrial Radio Access (E-UTRA) and NR; Multi-connectivity; Stage 2</w:t>
      </w:r>
      <w:r w:rsidR="00CF388E" w:rsidRPr="00CF388E">
        <w:rPr>
          <w:iCs/>
        </w:rPr>
        <w:t>, 3GPP</w:t>
      </w:r>
      <w:bookmarkEnd w:id="3"/>
    </w:p>
    <w:sectPr w:rsidR="00080512" w:rsidRPr="000441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5060E" w14:textId="77777777" w:rsidR="00B860F1" w:rsidRDefault="00B860F1">
      <w:r>
        <w:separator/>
      </w:r>
    </w:p>
  </w:endnote>
  <w:endnote w:type="continuationSeparator" w:id="0">
    <w:p w14:paraId="6EAC84C5" w14:textId="77777777" w:rsidR="00B860F1" w:rsidRDefault="00B8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9D28B" w14:textId="77777777" w:rsidR="00B860F1" w:rsidRDefault="00B860F1">
      <w:r>
        <w:separator/>
      </w:r>
    </w:p>
  </w:footnote>
  <w:footnote w:type="continuationSeparator" w:id="0">
    <w:p w14:paraId="4FBF20D4" w14:textId="77777777" w:rsidR="00B860F1" w:rsidRDefault="00B86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4119"/>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2C6E"/>
    <w:rsid w:val="002747EC"/>
    <w:rsid w:val="002855BF"/>
    <w:rsid w:val="002951C9"/>
    <w:rsid w:val="002F0D22"/>
    <w:rsid w:val="003172DC"/>
    <w:rsid w:val="00325AE3"/>
    <w:rsid w:val="00326069"/>
    <w:rsid w:val="0035462D"/>
    <w:rsid w:val="00364B41"/>
    <w:rsid w:val="003B40AD"/>
    <w:rsid w:val="003C4E37"/>
    <w:rsid w:val="003E16BE"/>
    <w:rsid w:val="003F1C80"/>
    <w:rsid w:val="004006E8"/>
    <w:rsid w:val="00401855"/>
    <w:rsid w:val="00477455"/>
    <w:rsid w:val="00490878"/>
    <w:rsid w:val="004A71A8"/>
    <w:rsid w:val="004C44D2"/>
    <w:rsid w:val="004C7886"/>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27303"/>
    <w:rsid w:val="00B47FD1"/>
    <w:rsid w:val="00B516BB"/>
    <w:rsid w:val="00B860F1"/>
    <w:rsid w:val="00BC3555"/>
    <w:rsid w:val="00C1224A"/>
    <w:rsid w:val="00C12B51"/>
    <w:rsid w:val="00C24650"/>
    <w:rsid w:val="00C31E3A"/>
    <w:rsid w:val="00C33079"/>
    <w:rsid w:val="00C83A13"/>
    <w:rsid w:val="00C9068C"/>
    <w:rsid w:val="00C92967"/>
    <w:rsid w:val="00CA3D0C"/>
    <w:rsid w:val="00CA654B"/>
    <w:rsid w:val="00CD4C7B"/>
    <w:rsid w:val="00CF388E"/>
    <w:rsid w:val="00D3792D"/>
    <w:rsid w:val="00D456DC"/>
    <w:rsid w:val="00D55E47"/>
    <w:rsid w:val="00D62E19"/>
    <w:rsid w:val="00D738D6"/>
    <w:rsid w:val="00D80795"/>
    <w:rsid w:val="00D854BE"/>
    <w:rsid w:val="00D87E00"/>
    <w:rsid w:val="00D9134D"/>
    <w:rsid w:val="00D96D11"/>
    <w:rsid w:val="00DA7A03"/>
    <w:rsid w:val="00DB1818"/>
    <w:rsid w:val="00DC309B"/>
    <w:rsid w:val="00DC4DA2"/>
    <w:rsid w:val="00DC4E63"/>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00FE4A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DC4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C4E6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712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5AIRPNAIUNRU-859666464-1157</_dlc_DocId>
    <_dlc_DocIdUrl xmlns="71c5aaf6-e6ce-465b-b873-5148d2a4c105">
      <Url>https://nokia.sharepoint.com/sites/c5g/e2earch/_layouts/15/DocIdRedir.aspx?ID=5AIRPNAIUNRU-859666464-1157</Url>
      <Description>5AIRPNAIUNRU-859666464-1157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2</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35</cp:revision>
  <dcterms:created xsi:type="dcterms:W3CDTF">2016-08-12T03:53:00Z</dcterms:created>
  <dcterms:modified xsi:type="dcterms:W3CDTF">2018-01-11T12:11:00Z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58a2e15b-4d08-4e6d-baf8-544434cd8623</vt:lpwstr>
  </property>
</Properties>
</file>